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7F" w:rsidRPr="0016177F" w:rsidRDefault="0016177F">
      <w:pPr>
        <w:rPr>
          <w:b/>
          <w:sz w:val="28"/>
        </w:rPr>
      </w:pPr>
      <w:r w:rsidRPr="0016177F">
        <w:rPr>
          <w:b/>
          <w:sz w:val="28"/>
        </w:rPr>
        <w:t>VET STUDENT LOANS—STUDENT ENTRY PROCEDURE</w:t>
      </w:r>
    </w:p>
    <w:p w:rsidR="0016177F" w:rsidRDefault="0016177F">
      <w:r>
        <w:t xml:space="preserve">In accordance with the VET Student Loans Act (2016), all students wishing to apply for a Commonwealth VET Student Loan must be assessed for academic suitability to undertake a </w:t>
      </w:r>
      <w:r>
        <w:t>high-level</w:t>
      </w:r>
      <w:r>
        <w:t xml:space="preserve"> VET qualification. </w:t>
      </w:r>
    </w:p>
    <w:p w:rsidR="0016177F" w:rsidRDefault="0016177F">
      <w:r>
        <w:t xml:space="preserve">Qualifications that are eligible for </w:t>
      </w:r>
      <w:r>
        <w:t>Global Institute</w:t>
      </w:r>
      <w:r>
        <w:t xml:space="preserve"> to offer students a VET Student Loan can be found on the </w:t>
      </w:r>
      <w:r>
        <w:t>Global Institute VET</w:t>
      </w:r>
      <w:r>
        <w:t xml:space="preserve"> Student Loan Approved Course List. This academic assessment is in addition to any entry requirements that may be required for the specific course you are undertaking. In high demand courses where there are more applicants than there are available places, there may also be additional selection criteria. If you are not able to meet any of these requirements, you will not be eligible to apply for a Commonwealth VET Student Loan. </w:t>
      </w:r>
    </w:p>
    <w:p w:rsidR="0016177F" w:rsidRDefault="0016177F">
      <w:r>
        <w:t xml:space="preserve">Ways to assess your academic suitability </w:t>
      </w:r>
      <w:proofErr w:type="gramStart"/>
      <w:r>
        <w:t>In</w:t>
      </w:r>
      <w:proofErr w:type="gramEnd"/>
      <w:r>
        <w:t xml:space="preserve"> order to apply for a VET Student Loan to cover your course fees or part of your fees, you must meet one of the criteria below and provide evidence, if applicable. </w:t>
      </w:r>
    </w:p>
    <w:p w:rsidR="0016177F" w:rsidRDefault="0016177F">
      <w:r>
        <w:t xml:space="preserve">Either: </w:t>
      </w:r>
    </w:p>
    <w:p w:rsidR="0016177F" w:rsidRDefault="0016177F">
      <w:r>
        <w:t xml:space="preserve">• you need to have completed your senior secondary certificate of education awarded by an Australian authority or agency or an International Baccalaureate Diploma Programme (IB) Diploma. </w:t>
      </w:r>
    </w:p>
    <w:p w:rsidR="0016177F" w:rsidRDefault="0016177F">
      <w:r>
        <w:t xml:space="preserve">Please provide a copy when you apply to enrol. A statement of outcomes meets this requirement only if it confirms that the student received the Senior Secondary Certificate. </w:t>
      </w:r>
    </w:p>
    <w:p w:rsidR="0016177F" w:rsidRDefault="0016177F">
      <w:r>
        <w:t>Global Institute</w:t>
      </w:r>
      <w:r>
        <w:t xml:space="preserve"> is required to store this for five years after you enrol. </w:t>
      </w:r>
    </w:p>
    <w:p w:rsidR="0016177F" w:rsidRDefault="0016177F">
      <w:r>
        <w:t xml:space="preserve">OR </w:t>
      </w:r>
    </w:p>
    <w:p w:rsidR="0016177F" w:rsidRDefault="0016177F">
      <w:r>
        <w:t>• you need to have completed an Australian Qualifications Framework qualification at Certificate IV level or above (or at a level in a framework that preceded the AQF, that is equivalent to level 4 or above in the AQF), that was delivered in English, or evidence of an approved Australian Government assessed overseas qualification</w:t>
      </w:r>
    </w:p>
    <w:p w:rsidR="0016177F" w:rsidRDefault="0016177F">
      <w:r>
        <w:t xml:space="preserve">Please provide a copy of your certificate, if this was achieved at a provider other than </w:t>
      </w:r>
      <w:r>
        <w:t>Global Institute</w:t>
      </w:r>
      <w:r>
        <w:t xml:space="preserve">. This may be issued by your previous provider or through the national USI Registry at https://www.usi.gov.au/students (for qualifications from 2015). </w:t>
      </w:r>
    </w:p>
    <w:p w:rsidR="0016177F" w:rsidRDefault="0016177F">
      <w:r>
        <w:t xml:space="preserve">OR </w:t>
      </w:r>
    </w:p>
    <w:p w:rsidR="0016177F" w:rsidRDefault="0016177F">
      <w:r>
        <w:t xml:space="preserve">• you need to undertake a literacy and numeracy assessment using an approved assessment tool and display competence at or above Exit Level 3 in the Australian Core Skills Framework (ACSF). </w:t>
      </w:r>
    </w:p>
    <w:p w:rsidR="0016177F" w:rsidRDefault="0016177F">
      <w:r>
        <w:t>Global Institute</w:t>
      </w:r>
      <w:r>
        <w:t xml:space="preserve"> will advise you how to undertake this assessment. It is free of charge. </w:t>
      </w:r>
      <w:r>
        <w:t xml:space="preserve">Global Institute uses LLN Robot to assess your LLN </w:t>
      </w:r>
      <w:r>
        <w:t xml:space="preserve">skills. </w:t>
      </w:r>
    </w:p>
    <w:p w:rsidR="0016177F" w:rsidRDefault="0016177F">
      <w:r>
        <w:t>Global Institute</w:t>
      </w:r>
      <w:r>
        <w:t xml:space="preserve"> must be confident that you complete this test independently and have the required skills. </w:t>
      </w:r>
      <w:r>
        <w:t>Global Institute</w:t>
      </w:r>
      <w:r>
        <w:t xml:space="preserve"> will inform you of your results as soon as practicable after the assessment. A copy of your results will be stored for five years after you enrol and may be provided to t</w:t>
      </w:r>
      <w:r>
        <w:t>he Commonwealth if requested.</w:t>
      </w:r>
    </w:p>
    <w:p w:rsidR="0016177F" w:rsidRDefault="0016177F">
      <w:r>
        <w:lastRenderedPageBreak/>
        <w:t xml:space="preserve">In NSW, you may obtain a copy of your Higher School Certificate from 1967 onwards for a standard cost where delivery is within 10 days, with an option for priority delivery at a higher fee. Go to the Board of Studies website for more information. http://educationstandards.nsw.edu.au/wps/portal/nesa/11-12/hsc/results-certificates/replacementcertificates </w:t>
      </w:r>
    </w:p>
    <w:p w:rsidR="0016177F" w:rsidRDefault="0016177F">
      <w:r>
        <w:t xml:space="preserve">From 1 January 2019, overseas qualifications can be used to demonstrate academic suitability if there is evidence that the qualification is comparable to an AQF Certificate IV level or above. The evidence must be a document issued by an Australian Commonwealth or State Government Department or agency contracted by </w:t>
      </w:r>
      <w:r>
        <w:t xml:space="preserve">the </w:t>
      </w:r>
      <w:r>
        <w:t>government for the purposes of assessing overseas qualifications, for example</w:t>
      </w:r>
      <w:r>
        <w:t>,</w:t>
      </w:r>
      <w:r>
        <w:t xml:space="preserve"> a state or territory overseas qualification unit or the Australian Government Department of Education, Skills and Employment qualification assessment service. Please note that these agencies charge a fee for the assessment of overseas qualifications. </w:t>
      </w:r>
    </w:p>
    <w:p w:rsidR="008628E7" w:rsidRDefault="0016177F">
      <w:r>
        <w:t xml:space="preserve">Note* Tertiary Preparation Certificate cannot be used in place of a Higher School Certificate. Tertiary Preparation (Certificate IV) can be used as evidence </w:t>
      </w:r>
      <w:r>
        <w:t xml:space="preserve">for the </w:t>
      </w:r>
      <w:r>
        <w:t>completion of a Certificate IV.</w:t>
      </w:r>
    </w:p>
    <w:sectPr w:rsidR="008628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15" w:rsidRDefault="00283F15" w:rsidP="0016177F">
      <w:pPr>
        <w:spacing w:after="0" w:line="240" w:lineRule="auto"/>
      </w:pPr>
      <w:r>
        <w:separator/>
      </w:r>
    </w:p>
  </w:endnote>
  <w:endnote w:type="continuationSeparator" w:id="0">
    <w:p w:rsidR="00283F15" w:rsidRDefault="00283F15" w:rsidP="0016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nOT-LightIta">
    <w:altName w:val="Calibri"/>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1" w:rsidRDefault="00130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55685"/>
      <w:docPartObj>
        <w:docPartGallery w:val="Page Numbers (Bottom of Page)"/>
        <w:docPartUnique/>
      </w:docPartObj>
    </w:sdtPr>
    <w:sdtEndPr>
      <w:rPr>
        <w:noProof/>
      </w:rPr>
    </w:sdtEndPr>
    <w:sdtContent>
      <w:p w:rsidR="00130831" w:rsidRDefault="001308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tbl>
    <w:tblPr>
      <w:tblStyle w:val="TableGrid"/>
      <w:tblW w:w="0" w:type="auto"/>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3389"/>
      <w:gridCol w:w="508"/>
    </w:tblGrid>
    <w:tr w:rsidR="00130831" w:rsidRPr="003A039E" w:rsidTr="00130F11">
      <w:tc>
        <w:tcPr>
          <w:tcW w:w="5637" w:type="dxa"/>
        </w:tcPr>
        <w:p w:rsidR="00130831" w:rsidRPr="00130831" w:rsidRDefault="00130831" w:rsidP="00130831">
          <w:pPr>
            <w:pStyle w:val="Subtitle"/>
            <w:spacing w:after="0"/>
            <w:rPr>
              <w:rFonts w:ascii="Arial" w:hAnsi="Arial" w:cs="Arial"/>
              <w:color w:val="AEAAAA" w:themeColor="background2" w:themeShade="BF"/>
            </w:rPr>
          </w:pPr>
          <w:r w:rsidRPr="00130831">
            <w:rPr>
              <w:rStyle w:val="Emphasis"/>
              <w:rFonts w:ascii="CoconOT-LightIta" w:hAnsi="CoconOT-LightIta"/>
              <w:color w:val="AEAAAA" w:themeColor="background2" w:themeShade="BF"/>
              <w:sz w:val="22"/>
              <w:szCs w:val="22"/>
            </w:rPr>
            <w:t>Support when you need it</w:t>
          </w:r>
        </w:p>
      </w:tc>
      <w:tc>
        <w:tcPr>
          <w:tcW w:w="3685" w:type="dxa"/>
        </w:tcPr>
        <w:p w:rsidR="00130831" w:rsidRPr="00130831" w:rsidRDefault="00130831" w:rsidP="00130831">
          <w:pPr>
            <w:pStyle w:val="Subtitle"/>
            <w:spacing w:after="0"/>
            <w:rPr>
              <w:rFonts w:ascii="Arial" w:hAnsi="Arial" w:cs="Arial"/>
              <w:b/>
              <w:color w:val="AEAAAA" w:themeColor="background2" w:themeShade="BF"/>
              <w:sz w:val="18"/>
              <w:szCs w:val="18"/>
            </w:rPr>
          </w:pPr>
          <w:r w:rsidRPr="00130831">
            <w:rPr>
              <w:rFonts w:ascii="Arial" w:hAnsi="Arial" w:cs="Arial"/>
              <w:b/>
              <w:color w:val="AEAAAA" w:themeColor="background2" w:themeShade="BF"/>
              <w:sz w:val="18"/>
              <w:szCs w:val="18"/>
            </w:rPr>
            <w:t>Version: 1.0</w:t>
          </w:r>
        </w:p>
      </w:tc>
      <w:tc>
        <w:tcPr>
          <w:tcW w:w="532" w:type="dxa"/>
        </w:tcPr>
        <w:p w:rsidR="00130831" w:rsidRPr="003A039E" w:rsidRDefault="00130831" w:rsidP="00130831">
          <w:pPr>
            <w:spacing w:after="0"/>
            <w:jc w:val="right"/>
            <w:rPr>
              <w:b/>
              <w:color w:val="FFFFFF" w:themeColor="background1"/>
            </w:rPr>
          </w:pPr>
          <w:r w:rsidRPr="003A039E">
            <w:rPr>
              <w:rFonts w:cs="Arial"/>
              <w:b/>
              <w:color w:val="FFFFFF" w:themeColor="background1"/>
              <w:sz w:val="18"/>
              <w:szCs w:val="18"/>
            </w:rPr>
            <w:fldChar w:fldCharType="begin"/>
          </w:r>
          <w:r w:rsidRPr="003A039E">
            <w:rPr>
              <w:rFonts w:cs="Arial"/>
              <w:b/>
              <w:color w:val="FFFFFF" w:themeColor="background1"/>
              <w:sz w:val="18"/>
              <w:szCs w:val="18"/>
            </w:rPr>
            <w:instrText xml:space="preserve"> PAGE   \* MERGEFORMAT </w:instrText>
          </w:r>
          <w:r w:rsidRPr="003A039E">
            <w:rPr>
              <w:rFonts w:cs="Arial"/>
              <w:b/>
              <w:color w:val="FFFFFF" w:themeColor="background1"/>
              <w:sz w:val="18"/>
              <w:szCs w:val="18"/>
            </w:rPr>
            <w:fldChar w:fldCharType="separate"/>
          </w:r>
          <w:r>
            <w:rPr>
              <w:rFonts w:cs="Arial"/>
              <w:b/>
              <w:noProof/>
              <w:color w:val="FFFFFF" w:themeColor="background1"/>
              <w:sz w:val="18"/>
              <w:szCs w:val="18"/>
            </w:rPr>
            <w:t>1</w:t>
          </w:r>
          <w:r w:rsidRPr="003A039E">
            <w:rPr>
              <w:rFonts w:cs="Arial"/>
              <w:b/>
              <w:color w:val="FFFFFF" w:themeColor="background1"/>
              <w:sz w:val="18"/>
              <w:szCs w:val="18"/>
            </w:rPr>
            <w:fldChar w:fldCharType="end"/>
          </w:r>
        </w:p>
      </w:tc>
    </w:tr>
  </w:tbl>
  <w:p w:rsidR="00130831" w:rsidRDefault="00130831">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1" w:rsidRDefault="00130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15" w:rsidRDefault="00283F15" w:rsidP="0016177F">
      <w:pPr>
        <w:spacing w:after="0" w:line="240" w:lineRule="auto"/>
      </w:pPr>
      <w:r>
        <w:separator/>
      </w:r>
    </w:p>
  </w:footnote>
  <w:footnote w:type="continuationSeparator" w:id="0">
    <w:p w:rsidR="00283F15" w:rsidRDefault="00283F15" w:rsidP="0016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1" w:rsidRDefault="00130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7F" w:rsidRPr="0016177F" w:rsidRDefault="0016177F" w:rsidP="0016177F">
    <w:pPr>
      <w:pStyle w:val="Dateline"/>
      <w:spacing w:before="0"/>
      <w:rPr>
        <w:noProof/>
        <w:sz w:val="17"/>
      </w:rPr>
    </w:pPr>
    <w:r>
      <w:rPr>
        <w:noProof/>
      </w:rPr>
      <w:drawing>
        <wp:inline distT="0" distB="0" distL="0" distR="0" wp14:anchorId="0801BF84" wp14:editId="461CEEFD">
          <wp:extent cx="502285" cy="502285"/>
          <wp:effectExtent l="0" t="0" r="0" b="0"/>
          <wp:docPr id="1" name="Picture 1" descr="global 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institu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r>
      <w:rPr>
        <w:rFonts w:ascii="Arial" w:hAnsi="Arial" w:cs="Arial"/>
        <w:color w:val="808080"/>
        <w:szCs w:val="20"/>
      </w:rPr>
      <w:t xml:space="preserve">                  </w:t>
    </w:r>
    <w:r>
      <w:rPr>
        <w:rFonts w:ascii="Arial" w:hAnsi="Arial" w:cs="Arial"/>
        <w:color w:val="808080"/>
        <w:szCs w:val="20"/>
      </w:rPr>
      <w:t xml:space="preserve">                  </w:t>
    </w:r>
    <w:r>
      <w:rPr>
        <w:rFonts w:ascii="Arial" w:hAnsi="Arial" w:cs="Arial"/>
        <w:color w:val="808080"/>
        <w:szCs w:val="20"/>
      </w:rPr>
      <w:t xml:space="preserve"> </w:t>
    </w:r>
    <w:r w:rsidRPr="0016177F">
      <w:rPr>
        <w:rFonts w:ascii="Arial" w:hAnsi="Arial" w:cs="Arial"/>
        <w:color w:val="808080"/>
        <w:sz w:val="18"/>
        <w:szCs w:val="20"/>
      </w:rPr>
      <w:t xml:space="preserve">Global Institute’s </w:t>
    </w:r>
    <w:r w:rsidRPr="0016177F">
      <w:rPr>
        <w:rFonts w:ascii="Arial" w:hAnsi="Arial" w:cs="Arial"/>
        <w:color w:val="808080"/>
        <w:sz w:val="18"/>
        <w:szCs w:val="20"/>
      </w:rPr>
      <w:t>VET Student Loans – Student Entry Procedure</w:t>
    </w:r>
  </w:p>
  <w:p w:rsidR="0016177F" w:rsidRPr="00130831" w:rsidRDefault="001617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1" w:rsidRDefault="00130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C82"/>
    <w:multiLevelType w:val="hybridMultilevel"/>
    <w:tmpl w:val="5F1AB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4"/>
    <w:rsid w:val="00130831"/>
    <w:rsid w:val="0016177F"/>
    <w:rsid w:val="00283F15"/>
    <w:rsid w:val="00407022"/>
    <w:rsid w:val="008628E7"/>
    <w:rsid w:val="00D63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F9F735"/>
  <w15:chartTrackingRefBased/>
  <w15:docId w15:val="{2C15CB0E-F328-48ED-9129-368B033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77F"/>
  </w:style>
  <w:style w:type="paragraph" w:styleId="Footer">
    <w:name w:val="footer"/>
    <w:basedOn w:val="Normal"/>
    <w:link w:val="FooterChar"/>
    <w:uiPriority w:val="99"/>
    <w:unhideWhenUsed/>
    <w:rsid w:val="0016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77F"/>
  </w:style>
  <w:style w:type="paragraph" w:customStyle="1" w:styleId="Dateline">
    <w:name w:val="Dateline"/>
    <w:basedOn w:val="Normal"/>
    <w:rsid w:val="0016177F"/>
    <w:pPr>
      <w:spacing w:before="60" w:after="60" w:line="288" w:lineRule="auto"/>
    </w:pPr>
    <w:rPr>
      <w:rFonts w:ascii="HelveticaNeueLT Std" w:eastAsiaTheme="minorEastAsia" w:hAnsi="HelveticaNeueLT Std"/>
      <w:sz w:val="21"/>
      <w:szCs w:val="21"/>
      <w:lang w:eastAsia="en-AU"/>
    </w:rPr>
  </w:style>
  <w:style w:type="paragraph" w:styleId="Subtitle">
    <w:name w:val="Subtitle"/>
    <w:aliases w:val="Copy heading"/>
    <w:basedOn w:val="Normal"/>
    <w:next w:val="Normal"/>
    <w:link w:val="SubtitleChar"/>
    <w:uiPriority w:val="11"/>
    <w:qFormat/>
    <w:rsid w:val="00130831"/>
    <w:pPr>
      <w:numPr>
        <w:ilvl w:val="1"/>
      </w:numPr>
      <w:spacing w:after="200" w:line="240" w:lineRule="auto"/>
    </w:pPr>
    <w:rPr>
      <w:rFonts w:asciiTheme="majorHAnsi" w:eastAsiaTheme="majorEastAsia" w:hAnsiTheme="majorHAnsi" w:cstheme="majorBidi"/>
      <w:sz w:val="30"/>
      <w:szCs w:val="30"/>
      <w:lang w:eastAsia="en-AU"/>
    </w:rPr>
  </w:style>
  <w:style w:type="character" w:customStyle="1" w:styleId="SubtitleChar">
    <w:name w:val="Subtitle Char"/>
    <w:aliases w:val="Copy heading Char"/>
    <w:basedOn w:val="DefaultParagraphFont"/>
    <w:link w:val="Subtitle"/>
    <w:uiPriority w:val="11"/>
    <w:rsid w:val="00130831"/>
    <w:rPr>
      <w:rFonts w:asciiTheme="majorHAnsi" w:eastAsiaTheme="majorEastAsia" w:hAnsiTheme="majorHAnsi" w:cstheme="majorBidi"/>
      <w:sz w:val="30"/>
      <w:szCs w:val="30"/>
      <w:lang w:eastAsia="en-AU"/>
    </w:rPr>
  </w:style>
  <w:style w:type="character" w:styleId="Emphasis">
    <w:name w:val="Emphasis"/>
    <w:basedOn w:val="DefaultParagraphFont"/>
    <w:uiPriority w:val="20"/>
    <w:qFormat/>
    <w:rsid w:val="00130831"/>
    <w:rPr>
      <w:i/>
      <w:iCs/>
      <w:color w:val="70AD47" w:themeColor="accent6"/>
    </w:rPr>
  </w:style>
  <w:style w:type="table" w:styleId="TableGrid">
    <w:name w:val="Table Grid"/>
    <w:basedOn w:val="TableNormal"/>
    <w:uiPriority w:val="59"/>
    <w:rsid w:val="00130831"/>
    <w:pPr>
      <w:spacing w:after="200" w:line="288"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Stokes</dc:creator>
  <cp:keywords/>
  <dc:description/>
  <cp:lastModifiedBy>Garry Stokes</cp:lastModifiedBy>
  <cp:revision>2</cp:revision>
  <dcterms:created xsi:type="dcterms:W3CDTF">2022-03-03T23:34:00Z</dcterms:created>
  <dcterms:modified xsi:type="dcterms:W3CDTF">2022-03-03T23:34:00Z</dcterms:modified>
</cp:coreProperties>
</file>